
<file path=[Content_Types].xml><?xml version="1.0" encoding="utf-8"?>
<Types xmlns="http://schemas.openxmlformats.org/package/2006/content-types">
  <Default Extension="tiff" ContentType="image/tif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sz w:val="28"/>
        </w:rPr>
      </w:pPr>
    </w:p>
    <w:p>
      <w:pPr>
        <w:rPr>
          <w:rFonts w:hint="eastAsia"/>
          <w:sz w:val="28"/>
        </w:rPr>
      </w:pPr>
    </w:p>
    <w:p>
      <w:r>
        <w:t xml:space="preserve"> </w:t>
      </w:r>
      <w:r>
        <w:drawing>
          <wp:inline distT="0" distB="0" distL="0" distR="0">
            <wp:extent cx="4769485" cy="2729865"/>
            <wp:effectExtent l="0" t="0" r="635" b="13335"/>
            <wp:docPr id="7" name="圖片 6" descr="E:\排版的论文\已送排 30975\30975\30975-正确文件\30975-正确文件\30975-正确图片\30975-Supplementary Figures and Table\30975-Figure. S1.tif30975-Figure. S1"/>
            <wp:cNvGraphicFramePr/>
            <a:graphic xmlns:a="http://schemas.openxmlformats.org/drawingml/2006/main">
              <a:graphicData uri="http://schemas.openxmlformats.org/drawingml/2006/picture">
                <pic:pic xmlns:pic="http://schemas.openxmlformats.org/drawingml/2006/picture">
                  <pic:nvPicPr>
                    <pic:cNvPr id="7" name="圖片 6" descr="E:\排版的论文\已送排 30975\30975\30975-正确文件\30975-正确文件\30975-正确图片\30975-Supplementary Figures and Table\30975-Figure. S1.tif30975-Figure. S1"/>
                    <pic:cNvPicPr/>
                  </pic:nvPicPr>
                  <pic:blipFill>
                    <a:blip r:embed="rId4"/>
                    <a:srcRect l="500" r="500"/>
                    <a:stretch>
                      <a:fillRect/>
                    </a:stretch>
                  </pic:blipFill>
                  <pic:spPr>
                    <a:xfrm>
                      <a:off x="0" y="0"/>
                      <a:ext cx="4784339" cy="2729865"/>
                    </a:xfrm>
                    <a:prstGeom prst="rect">
                      <a:avLst/>
                    </a:prstGeom>
                    <a:ln>
                      <a:noFill/>
                    </a:ln>
                  </pic:spPr>
                </pic:pic>
              </a:graphicData>
            </a:graphic>
          </wp:inline>
        </w:drawing>
      </w:r>
    </w:p>
    <w:p>
      <w:pPr>
        <w:jc w:val="both"/>
        <w:rPr>
          <w:rFonts w:ascii="Times New Roman" w:hAnsi="Times New Roman" w:cs="Times New Roman"/>
          <w:b/>
        </w:rPr>
      </w:pPr>
      <w:r>
        <w:rPr>
          <w:rFonts w:hint="cs" w:ascii="Times New Roman" w:hAnsi="Times New Roman" w:cs="Times New Roman"/>
          <w:b/>
        </w:rPr>
        <w:t>F</w:t>
      </w:r>
      <w:r>
        <w:rPr>
          <w:rFonts w:ascii="Times New Roman" w:hAnsi="Times New Roman" w:cs="Times New Roman"/>
          <w:b/>
        </w:rPr>
        <w:t>ig. S1. AKR1C3 expression was negatively associated with progression-free survival in the HCC patients from the TCGA database.</w:t>
      </w:r>
    </w:p>
    <w:p>
      <w:pPr>
        <w:jc w:val="both"/>
        <w:rPr>
          <w:rFonts w:ascii="Times New Roman" w:hAnsi="Times New Roman" w:cs="Times New Roman"/>
        </w:rPr>
      </w:pPr>
      <w:r>
        <w:rPr>
          <w:rFonts w:hint="eastAsia" w:ascii="Times New Roman" w:hAnsi="Times New Roman" w:cs="Times New Roman"/>
          <w:szCs w:val="24"/>
        </w:rPr>
        <w:t>A</w:t>
      </w:r>
      <w:r>
        <w:rPr>
          <w:rFonts w:ascii="Times New Roman" w:hAnsi="Times New Roman" w:cs="Times New Roman"/>
          <w:szCs w:val="24"/>
        </w:rPr>
        <w:t xml:space="preserve"> cohort of 365 patients with HCC in the TCGA database</w:t>
      </w:r>
      <w:r>
        <w:rPr>
          <w:rFonts w:hint="eastAsia" w:ascii="Times New Roman" w:hAnsi="Times New Roman" w:cs="Times New Roman"/>
          <w:szCs w:val="24"/>
        </w:rPr>
        <w:t xml:space="preserve"> </w:t>
      </w:r>
      <w:r>
        <w:rPr>
          <w:rFonts w:ascii="Times New Roman" w:hAnsi="Times New Roman" w:cs="Times New Roman"/>
          <w:szCs w:val="24"/>
        </w:rPr>
        <w:t xml:space="preserve">was used to analyze the correlation between AKR1C3 expression with progression-free survival. The medium expression level of AKR1C3 in the cohort was 70.34, and it is used to divide these patients into AKR1C3-high (n = 182) and AKR1C3-low groups (n = 183), and the progression-free survival rate was analyzed using </w:t>
      </w:r>
      <w:r>
        <w:rPr>
          <w:rFonts w:ascii="Times New Roman" w:hAnsi="Times New Roman" w:cs="Times New Roman"/>
        </w:rPr>
        <w:t>the log-rank test.</w:t>
      </w:r>
    </w:p>
    <w:p>
      <w:pPr>
        <w:widowControl/>
        <w:rPr>
          <w:sz w:val="28"/>
        </w:rPr>
      </w:pPr>
      <w:r>
        <w:rPr>
          <w:sz w:val="28"/>
        </w:rPr>
        <w:br w:type="page"/>
      </w:r>
    </w:p>
    <w:p>
      <w:pPr>
        <w:rPr>
          <w:rFonts w:hint="eastAsia" w:ascii="Times New Roman" w:hAnsi="Times New Roman" w:cs="Times New Roman" w:eastAsiaTheme="minorEastAsia"/>
          <w:b/>
          <w:lang w:eastAsia="zh-CN"/>
        </w:rPr>
      </w:pPr>
      <w:r>
        <w:rPr>
          <w:rFonts w:hint="eastAsia" w:ascii="Times New Roman" w:hAnsi="Times New Roman" w:cs="Times New Roman" w:eastAsiaTheme="minorEastAsia"/>
          <w:b/>
          <w:lang w:eastAsia="zh-CN"/>
        </w:rPr>
        <w:drawing>
          <wp:inline distT="0" distB="0" distL="114300" distR="114300">
            <wp:extent cx="5267960" cy="3920490"/>
            <wp:effectExtent l="0" t="0" r="5080" b="11430"/>
            <wp:docPr id="4" name="图片 4" descr="30975-Figure. 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0975-Figure. S2"/>
                    <pic:cNvPicPr>
                      <a:picLocks noChangeAspect="1"/>
                    </pic:cNvPicPr>
                  </pic:nvPicPr>
                  <pic:blipFill>
                    <a:blip r:embed="rId5"/>
                    <a:stretch>
                      <a:fillRect/>
                    </a:stretch>
                  </pic:blipFill>
                  <pic:spPr>
                    <a:xfrm>
                      <a:off x="0" y="0"/>
                      <a:ext cx="5267960" cy="3920490"/>
                    </a:xfrm>
                    <a:prstGeom prst="rect">
                      <a:avLst/>
                    </a:prstGeom>
                  </pic:spPr>
                </pic:pic>
              </a:graphicData>
            </a:graphic>
          </wp:inline>
        </w:drawing>
      </w:r>
    </w:p>
    <w:p>
      <w:pPr>
        <w:jc w:val="both"/>
        <w:rPr>
          <w:rFonts w:ascii="Times New Roman" w:hAnsi="Times New Roman" w:cs="Times New Roman"/>
          <w:b/>
        </w:rPr>
      </w:pPr>
      <w:r>
        <w:rPr>
          <w:rFonts w:ascii="Times New Roman" w:hAnsi="Times New Roman" w:cs="Times New Roman"/>
          <w:b/>
        </w:rPr>
        <w:t>Fig. S2. The expression of AKR1C3 mRNA was not correlated with tumor stage, race, age, weight, or risk factors in patients with HCC.</w:t>
      </w:r>
    </w:p>
    <w:p>
      <w:pPr>
        <w:jc w:val="both"/>
        <w:rPr>
          <w:rFonts w:ascii="Times New Roman" w:hAnsi="Times New Roman" w:cs="Times New Roman"/>
        </w:rPr>
      </w:pPr>
      <w:r>
        <w:rPr>
          <w:rFonts w:ascii="Times New Roman" w:hAnsi="Times New Roman" w:cs="Times New Roman"/>
        </w:rPr>
        <w:t>After classifying patients in the TCGA liver cancer database according to different parameters, we analyzed the correlation between different factors and AKR1C3 expression. Because some clinical characteristics are not included in the HCC patients from the TCGA database, the sample size for each analysis is different. The patient number (n) in different groups was shown.</w:t>
      </w:r>
    </w:p>
    <w:p>
      <w:pPr>
        <w:rPr>
          <w:rFonts w:ascii="Times New Roman" w:hAnsi="Times New Roman" w:cs="Times New Roman"/>
        </w:rPr>
      </w:pPr>
    </w:p>
    <w:p>
      <w:pPr>
        <w:rPr>
          <w:rFonts w:ascii="Times New Roman" w:hAnsi="Times New Roman" w:cs="Times New Roman"/>
        </w:rPr>
      </w:pPr>
    </w:p>
    <w:p>
      <w:pPr>
        <w:widowControl/>
        <w:rPr>
          <w:rFonts w:ascii="Times New Roman" w:hAnsi="Times New Roman" w:cs="Times New Roman"/>
        </w:rPr>
      </w:pPr>
      <w:r>
        <w:rPr>
          <w:rFonts w:ascii="Times New Roman" w:hAnsi="Times New Roman" w:cs="Times New Roman"/>
        </w:rPr>
        <w:br w:type="page"/>
      </w:r>
    </w:p>
    <w:p>
      <w:pPr>
        <w:widowControl/>
        <w:rPr>
          <w:rFonts w:ascii="Times New Roman" w:hAnsi="Times New Roman" w:cs="Times New Roman"/>
        </w:rPr>
      </w:pPr>
    </w:p>
    <w:p>
      <w:pPr>
        <w:rPr>
          <w:rFonts w:ascii="Times New Roman" w:hAnsi="Times New Roman" w:cs="Times New Roman"/>
        </w:rPr>
      </w:pPr>
      <w:r>
        <w:rPr>
          <w:rFonts w:ascii="Times New Roman" w:hAnsi="Times New Roman" w:cs="Times New Roman"/>
        </w:rPr>
        <w:drawing>
          <wp:inline distT="0" distB="0" distL="0" distR="0">
            <wp:extent cx="5274310" cy="1879600"/>
            <wp:effectExtent l="0" t="0" r="13970" b="10160"/>
            <wp:docPr id="2" name="圖片 2" descr="E:\排版的论文\已送排 30975\30975\30975-正确文件\30975-正确文件\30975-正确图片\30975-Supplementary Figures and Table\30975-Figure. S3.tif30975-Figure. 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descr="E:\排版的论文\已送排 30975\30975\30975-正确文件\30975-正确文件\30975-正确图片\30975-Supplementary Figures and Table\30975-Figure. S3.tif30975-Figure. S3"/>
                    <pic:cNvPicPr>
                      <a:picLocks noChangeAspect="1"/>
                    </pic:cNvPicPr>
                  </pic:nvPicPr>
                  <pic:blipFill>
                    <a:blip r:embed="rId6"/>
                    <a:srcRect t="13605" b="13605"/>
                    <a:stretch>
                      <a:fillRect/>
                    </a:stretch>
                  </pic:blipFill>
                  <pic:spPr>
                    <a:xfrm>
                      <a:off x="0" y="0"/>
                      <a:ext cx="5274310" cy="1879600"/>
                    </a:xfrm>
                    <a:prstGeom prst="rect">
                      <a:avLst/>
                    </a:prstGeom>
                  </pic:spPr>
                </pic:pic>
              </a:graphicData>
            </a:graphic>
          </wp:inline>
        </w:drawing>
      </w:r>
    </w:p>
    <w:p>
      <w:pPr>
        <w:jc w:val="both"/>
        <w:rPr>
          <w:rFonts w:ascii="Times New Roman" w:hAnsi="Times New Roman" w:cs="Times New Roman"/>
        </w:rPr>
      </w:pPr>
      <w:r>
        <w:rPr>
          <w:rFonts w:hint="eastAsia" w:ascii="Times New Roman" w:hAnsi="Times New Roman" w:cs="Times New Roman"/>
          <w:b/>
        </w:rPr>
        <w:t>Fi</w:t>
      </w:r>
      <w:r>
        <w:rPr>
          <w:rFonts w:ascii="Times New Roman" w:hAnsi="Times New Roman" w:cs="Times New Roman"/>
          <w:b/>
        </w:rPr>
        <w:t xml:space="preserve">g. S3. AKR1C3 overexpression did not affect the colony formation of Hep3B cells. </w:t>
      </w:r>
      <w:r>
        <w:rPr>
          <w:rFonts w:ascii="Times New Roman" w:hAnsi="Times New Roman" w:cs="Times New Roman"/>
        </w:rPr>
        <w:t>After confirming the protein levels using Western blot analysis, five thousand vector control or AKR1C3 overexpressing Hep3B cells were seeded on a 6-well plate, and the medium was changed every 3 days. After 14 days, the cells were washed, fixed, and stained with crystal violet. The colony number was evaluated using ImageJ, and the average colony number out of 3 independent experiments is shown.</w:t>
      </w:r>
    </w:p>
    <w:p>
      <w:pPr>
        <w:widowControl/>
        <w:rPr>
          <w:rFonts w:ascii="Times New Roman" w:hAnsi="Times New Roman" w:cs="Times New Roman"/>
        </w:rPr>
      </w:pPr>
      <w:r>
        <w:rPr>
          <w:rFonts w:ascii="Times New Roman" w:hAnsi="Times New Roman" w:cs="Times New Roman"/>
        </w:rPr>
        <w:br w:type="page"/>
      </w:r>
    </w:p>
    <w:p>
      <w:pPr>
        <w:widowControl/>
        <w:rPr>
          <w:rFonts w:ascii="Times New Roman" w:hAnsi="Times New Roman" w:cs="Times New Roman"/>
        </w:rPr>
      </w:pPr>
    </w:p>
    <w:p>
      <w:pPr>
        <w:widowControl/>
        <w:rPr>
          <w:rFonts w:ascii="Times New Roman" w:hAnsi="Times New Roman" w:cs="Times New Roman"/>
        </w:rPr>
      </w:pPr>
      <w:r>
        <w:rPr>
          <w:rFonts w:hint="eastAsia" w:ascii="Times New Roman" w:hAnsi="Times New Roman" w:cs="Times New Roman"/>
        </w:rPr>
        <w:drawing>
          <wp:inline distT="0" distB="0" distL="0" distR="0">
            <wp:extent cx="5274310" cy="2916555"/>
            <wp:effectExtent l="0" t="0" r="13970" b="9525"/>
            <wp:docPr id="3" name="圖片 3" descr="E:\排版的论文\已送排 30975\30975\30975-正确文件\30975-正确文件\30975-正确图片\30975-Supplementary Figures and Table\30975-Figure. S4.tif30975-Figure. 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descr="E:\排版的论文\已送排 30975\30975\30975-正确文件\30975-正确文件\30975-正确图片\30975-Supplementary Figures and Table\30975-Figure. S4.tif30975-Figure. S4"/>
                    <pic:cNvPicPr>
                      <a:picLocks noChangeAspect="1"/>
                    </pic:cNvPicPr>
                  </pic:nvPicPr>
                  <pic:blipFill>
                    <a:blip r:embed="rId7"/>
                    <a:srcRect t="3913" b="3913"/>
                    <a:stretch>
                      <a:fillRect/>
                    </a:stretch>
                  </pic:blipFill>
                  <pic:spPr>
                    <a:xfrm>
                      <a:off x="0" y="0"/>
                      <a:ext cx="5274310" cy="2916555"/>
                    </a:xfrm>
                    <a:prstGeom prst="rect">
                      <a:avLst/>
                    </a:prstGeom>
                  </pic:spPr>
                </pic:pic>
              </a:graphicData>
            </a:graphic>
          </wp:inline>
        </w:drawing>
      </w:r>
    </w:p>
    <w:p>
      <w:pPr>
        <w:widowControl/>
        <w:tabs>
          <w:tab w:val="left" w:pos="3690"/>
        </w:tabs>
        <w:jc w:val="both"/>
        <w:rPr>
          <w:rFonts w:ascii="Times New Roman" w:hAnsi="Times New Roman" w:cs="Times New Roman"/>
          <w:b/>
        </w:rPr>
      </w:pPr>
      <w:bookmarkStart w:id="0" w:name="_GoBack"/>
      <w:r>
        <w:rPr>
          <w:rFonts w:hint="eastAsia" w:ascii="Times New Roman" w:hAnsi="Times New Roman" w:cs="Times New Roman"/>
          <w:b/>
        </w:rPr>
        <w:t>Fi</w:t>
      </w:r>
      <w:r>
        <w:rPr>
          <w:rFonts w:ascii="Times New Roman" w:hAnsi="Times New Roman" w:cs="Times New Roman"/>
          <w:b/>
        </w:rPr>
        <w:t>g. S4. The expression of AKR1C3 is not associated with androgen or estrogen target genes in the HCC samples from the TCGA database.</w:t>
      </w:r>
    </w:p>
    <w:p>
      <w:pPr>
        <w:widowControl/>
        <w:jc w:val="both"/>
        <w:rPr>
          <w:rFonts w:ascii="Times New Roman" w:hAnsi="Times New Roman" w:cs="Times New Roman"/>
        </w:rPr>
      </w:pPr>
      <w:r>
        <w:rPr>
          <w:rFonts w:ascii="Times New Roman" w:hAnsi="Times New Roman" w:cs="Times New Roman"/>
        </w:rPr>
        <w:t>The correlation between AKR1C</w:t>
      </w:r>
      <w:r>
        <w:rPr>
          <w:rFonts w:hint="eastAsia" w:ascii="Times New Roman" w:hAnsi="Times New Roman" w:cs="Times New Roman"/>
        </w:rPr>
        <w:t>3 e</w:t>
      </w:r>
      <w:r>
        <w:rPr>
          <w:rFonts w:ascii="Times New Roman" w:hAnsi="Times New Roman" w:cs="Times New Roman"/>
        </w:rPr>
        <w:t xml:space="preserve">xpression with the expression of each one of the androgen target genes (AR, PEG10, and EZH2) or estrogen target genes (NLRP3, TRIM25, and NOS3) from the TCGA database was analyzed using Spearman correlation. </w:t>
      </w:r>
    </w:p>
    <w:bookmarkEnd w:id="0"/>
    <w:sectPr>
      <w:pgSz w:w="11906" w:h="16838"/>
      <w:pgMar w:top="1440" w:right="1800" w:bottom="1440" w:left="1800" w:header="851" w:footer="992" w:gutter="0"/>
      <w:cols w:space="425"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PMingLiU">
    <w:altName w:val="PMingLiU-ExtB"/>
    <w:panose1 w:val="02020500000000000000"/>
    <w:charset w:val="88"/>
    <w:family w:val="roman"/>
    <w:pitch w:val="default"/>
    <w:sig w:usb0="00000000" w:usb1="00000000" w:usb2="00000016" w:usb3="00000000" w:csb0="00100001" w:csb1="00000000"/>
  </w:font>
  <w:font w:name="PMingLiU">
    <w:altName w:val="宋体"/>
    <w:panose1 w:val="00000000000000000000"/>
    <w:charset w:val="86"/>
    <w:family w:val="auto"/>
    <w:pitch w:val="default"/>
    <w:sig w:usb0="00000000" w:usb1="00000000" w:usb2="00000000" w:usb3="00000000" w:csb0="00000000" w:csb1="00000000"/>
  </w:font>
  <w:font w:name="PMingLiU-ExtB">
    <w:panose1 w:val="02020500000000000000"/>
    <w:charset w:val="88"/>
    <w:family w:val="auto"/>
    <w:pitch w:val="default"/>
    <w:sig w:usb0="8000002F" w:usb1="02000008" w:usb2="00000000" w:usb3="00000000" w:csb0="001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bordersDoNotSurroundHeader w:val="1"/>
  <w:bordersDoNotSurroundFooter w:val="1"/>
  <w:documentProtection w:enforcement="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ZkNzQ4ZWFiZmQ4NTRhOWRkZTk3YTMwMjlmMmZhYmUifQ=="/>
  </w:docVars>
  <w:rsids>
    <w:rsidRoot w:val="004E4F93"/>
    <w:rsid w:val="000D0E50"/>
    <w:rsid w:val="00215F1D"/>
    <w:rsid w:val="002903D7"/>
    <w:rsid w:val="003470DA"/>
    <w:rsid w:val="004E4F93"/>
    <w:rsid w:val="00541FCB"/>
    <w:rsid w:val="005A0602"/>
    <w:rsid w:val="005B4869"/>
    <w:rsid w:val="005D440B"/>
    <w:rsid w:val="005D7236"/>
    <w:rsid w:val="006839DD"/>
    <w:rsid w:val="006D2E02"/>
    <w:rsid w:val="00791104"/>
    <w:rsid w:val="007B537B"/>
    <w:rsid w:val="00993430"/>
    <w:rsid w:val="00A13DAE"/>
    <w:rsid w:val="00A62AD8"/>
    <w:rsid w:val="00BB7F6D"/>
    <w:rsid w:val="00D33D47"/>
    <w:rsid w:val="00DD210A"/>
    <w:rsid w:val="00E04A19"/>
    <w:rsid w:val="00E8452E"/>
    <w:rsid w:val="00FA5B4E"/>
    <w:rsid w:val="041259D6"/>
    <w:rsid w:val="0AE65E3D"/>
    <w:rsid w:val="0D0753D1"/>
    <w:rsid w:val="10E017B4"/>
    <w:rsid w:val="266C3F24"/>
    <w:rsid w:val="302C7D96"/>
    <w:rsid w:val="31CF3CF6"/>
    <w:rsid w:val="34B75266"/>
    <w:rsid w:val="35F920FC"/>
    <w:rsid w:val="3BCB62E9"/>
    <w:rsid w:val="3CF63839"/>
    <w:rsid w:val="3E564C85"/>
    <w:rsid w:val="495024F9"/>
    <w:rsid w:val="4EB61F0F"/>
    <w:rsid w:val="55560A06"/>
    <w:rsid w:val="5D4C0A06"/>
    <w:rsid w:val="602F37F0"/>
    <w:rsid w:val="66F57FC8"/>
    <w:rsid w:val="6FEB5085"/>
    <w:rsid w:val="7CE841E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pPr>
    <w:rPr>
      <w:rFonts w:asciiTheme="minorHAnsi" w:hAnsiTheme="minorHAnsi" w:eastAsiaTheme="minorEastAsia" w:cstheme="minorBidi"/>
      <w:kern w:val="2"/>
      <w:sz w:val="24"/>
      <w:szCs w:val="22"/>
      <w:lang w:val="en-US" w:eastAsia="zh-TW"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pPr>
    <w:rPr>
      <w:sz w:val="20"/>
      <w:szCs w:val="20"/>
    </w:rPr>
  </w:style>
  <w:style w:type="paragraph" w:styleId="3">
    <w:name w:val="header"/>
    <w:basedOn w:val="1"/>
    <w:link w:val="6"/>
    <w:unhideWhenUsed/>
    <w:uiPriority w:val="99"/>
    <w:pPr>
      <w:tabs>
        <w:tab w:val="center" w:pos="4153"/>
        <w:tab w:val="right" w:pos="8306"/>
      </w:tabs>
      <w:snapToGrid w:val="0"/>
    </w:pPr>
    <w:rPr>
      <w:sz w:val="20"/>
      <w:szCs w:val="20"/>
    </w:rPr>
  </w:style>
  <w:style w:type="character" w:customStyle="1" w:styleId="6">
    <w:name w:val="頁首 字元"/>
    <w:basedOn w:val="5"/>
    <w:link w:val="3"/>
    <w:uiPriority w:val="99"/>
    <w:rPr>
      <w:sz w:val="20"/>
      <w:szCs w:val="20"/>
    </w:rPr>
  </w:style>
  <w:style w:type="character" w:customStyle="1" w:styleId="7">
    <w:name w:val="頁尾 字元"/>
    <w:basedOn w:val="5"/>
    <w:link w:val="2"/>
    <w:uiPriority w:val="99"/>
    <w:rPr>
      <w:sz w:val="20"/>
      <w:szCs w:val="20"/>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4.tiff"/><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4</Pages>
  <Words>304</Words>
  <Characters>1739</Characters>
  <Lines>14</Lines>
  <Paragraphs>4</Paragraphs>
  <TotalTime>73</TotalTime>
  <ScaleCrop>false</ScaleCrop>
  <LinksUpToDate>false</LinksUpToDate>
  <CharactersWithSpaces>2039</CharactersWithSpaces>
  <Application>WPS Office_12.1.0.15404_F1E327BC-269C-435d-A152-05C5408002CA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2022-09-28T09:37:00Z</dcterms:created>
  <dc:creator>Chuen-Miin Leu</dc:creator>
  <cp:lastModifiedBy>Daisy</cp:lastModifiedBy>
  <cp:lastPrinted>2023-05-02T08:38:00Z</cp:lastPrinted>
  <dcterms:modified xsi:type="dcterms:W3CDTF">2023-09-20T08:20:54Z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7cfaca2700a4230c1e91e1220fdf6d1db4e5dd1cab30360c979e3dee1d2e9384</vt:lpwstr>
  </property>
  <property fmtid="{D5CDD505-2E9C-101B-9397-08002B2CF9AE}" pid="3" name="KSOProductBuildVer">
    <vt:lpwstr>2052-12.1.0.15404</vt:lpwstr>
  </property>
  <property fmtid="{D5CDD505-2E9C-101B-9397-08002B2CF9AE}" pid="4" name="ICV">
    <vt:lpwstr>6CF50A64E2744E9EACA9139756912B7A_12</vt:lpwstr>
  </property>
</Properties>
</file>